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865"/>
        <w:gridCol w:w="1416"/>
        <w:gridCol w:w="5751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63929142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>
              <w:rPr>
                <w:rFonts w:ascii="Microsoft PhagsPa" w:hAnsi="Microsoft PhagsPa"/>
                <w:sz w:val="24"/>
                <w:szCs w:val="24"/>
              </w:rPr>
              <w:t>Primaria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t>3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50308A">
              <w:rPr>
                <w:rFonts w:ascii="Microsoft PhagsPa" w:hAnsi="Microsoft PhagsPa"/>
                <w:sz w:val="24"/>
                <w:szCs w:val="24"/>
              </w:rPr>
              <w:t>Matemáticas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44CCD197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t>Unidades, decenas y centenas</w:t>
            </w:r>
          </w:p>
          <w:p w14:paraId="438F6DA4" w14:textId="650DC08D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t xml:space="preserve"> 3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45BDA3BA" w14:textId="00A59164" w:rsidR="0030369C" w:rsidRPr="0046246E" w:rsidRDefault="000303C5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Resuelve problemas aditivos con diferentes significados, modificando el lugar de la incógnita y con números de hasta dos cifras. </w:t>
            </w:r>
            <w:r w:rsidR="0050308A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9D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CC14E0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04697D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1F3AEF2A" w14:textId="7E6B0F0E" w:rsidR="0030369C" w:rsidRPr="0046246E" w:rsidRDefault="000303C5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N/A</w:t>
            </w:r>
          </w:p>
          <w:p w14:paraId="32F5E79D" w14:textId="77777777" w:rsidR="0030369C" w:rsidRPr="0046246E" w:rsidRDefault="0030369C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3F2B7990" w14:textId="4B466D2E" w:rsidR="000303C5" w:rsidRDefault="000303C5" w:rsidP="0050308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Una vez enseñado el valor posicional en el aula, o en manera de introducción al tema, presentar recurso al grupo. Contiene 2 apartados: Comprender y practicar. El objetivo es que los estudiantes pasen por ambos apartados de manera que comprendan la relación posicional de 1 en 1, 10 en 10, 100 en 100.  Se puede trabajar de manera individual o en parejas o equipos, dependiendo de la disponibilidad de computadoras en el aula de medios. </w:t>
            </w:r>
          </w:p>
          <w:p w14:paraId="7BB4A372" w14:textId="1491F9DE" w:rsidR="009D2C46" w:rsidRPr="0046246E" w:rsidRDefault="0050308A" w:rsidP="0050308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Recurso: </w:t>
            </w:r>
            <w:r>
              <w:t xml:space="preserve"> </w:t>
            </w:r>
            <w:r w:rsidR="000303C5">
              <w:t xml:space="preserve"> </w:t>
            </w:r>
            <w:hyperlink r:id="rId7" w:history="1">
              <w:r w:rsidR="000303C5" w:rsidRPr="00A85CA1">
                <w:rPr>
                  <w:rStyle w:val="Hipervnculo"/>
                </w:rPr>
                <w:t>http://www.comunidadunete.net/index.php/component/k2/item/383-unidades-decenas-y-centenas</w:t>
              </w:r>
            </w:hyperlink>
            <w:r w:rsidR="000303C5">
              <w:t xml:space="preserve"> 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3F099AF1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E89EF88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59958B6C" w14:textId="5ED69A25" w:rsidR="001129A0" w:rsidRPr="0046246E" w:rsidRDefault="0050308A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Se explica que lo que tienen en pantalla es un juego d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t>e valor posicional y deben tener al menos 1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0 aciertos en cada nivel. Cada vez que resuelvan 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t>un ejercicio, deben anotarlo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en el cuaderno de matemáticas con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t xml:space="preserve"> su resultado. Cuando obtengan 1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0 aciertos, 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t xml:space="preserve">deben pasar a la parte de practicar y obtener otros 10 aciertos, con sus respectivas anotaciones en el cuaderno. </w:t>
            </w:r>
          </w:p>
          <w:p w14:paraId="59129B2E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62859FAD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B4B924E" w14:textId="54B8D0D5" w:rsidR="001129A0" w:rsidRPr="0046246E" w:rsidRDefault="008D0CE0" w:rsidP="000303C5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pide a 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t>los alumnos que al finalrespondan a la siguiente pregunta: ¿Qué cambia cuando sumamos de 1 en 1?¿Y de 10 en 10? ¿Y de 100 en 100?</w:t>
            </w:r>
            <w:r w:rsidR="008F19DF">
              <w:rPr>
                <w:rFonts w:ascii="Microsoft PhagsPa" w:hAnsi="Microsoft PhagsPa"/>
                <w:sz w:val="24"/>
                <w:szCs w:val="24"/>
              </w:rPr>
              <w:t xml:space="preserve">. Después, deben escribir cómo iban </w:t>
            </w:r>
            <w:r w:rsidR="000303C5">
              <w:rPr>
                <w:rFonts w:ascii="Microsoft PhagsPa" w:hAnsi="Microsoft PhagsPa"/>
                <w:sz w:val="24"/>
                <w:szCs w:val="24"/>
              </w:rPr>
              <w:lastRenderedPageBreak/>
              <w:t xml:space="preserve">resolviendo los problemas a través del recurso, y si les pareció fácil o difícil. </w:t>
            </w:r>
            <w:r w:rsidR="008F19DF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16BF174D" w:rsidR="001129A0" w:rsidRPr="0046246E" w:rsidRDefault="000303C5" w:rsidP="00942736">
            <w:pPr>
              <w:rPr>
                <w:rFonts w:ascii="Microsoft PhagsPa" w:hAnsi="Microsoft PhagsPa"/>
                <w:sz w:val="24"/>
                <w:szCs w:val="24"/>
              </w:rPr>
            </w:pPr>
            <w:hyperlink r:id="rId8" w:history="1">
              <w:r w:rsidRPr="00A85CA1">
                <w:rPr>
                  <w:rStyle w:val="Hipervnculo"/>
                </w:rPr>
                <w:t>http://www.comunidadunete.net/index.php/component/k2/item/383-unidades-decenas-y-centenas</w:t>
              </w:r>
            </w:hyperlink>
            <w:r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5FCDBE0" w14:textId="77777777" w:rsidR="001129A0" w:rsidRDefault="008D0CE0" w:rsidP="008D0CE0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debe tener cuidado con la disciplina en el aula. Se debe pasar por el salón en repetidas ocasiones, a fin de evitar que los alumnos utilicen las computadoras para actividades ajenas a la clase. Se pueden establecer tiempos límite para trabajar con las definiciones, de esta manera los alumnos se deben de apurar y no se distraerán con otras páginas y recursos digitales. </w:t>
            </w:r>
          </w:p>
          <w:p w14:paraId="3BEDAA48" w14:textId="77777777" w:rsidR="000303C5" w:rsidRDefault="000303C5" w:rsidP="008D0CE0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27AA66AC" w14:textId="1C838C70" w:rsidR="000303C5" w:rsidRDefault="000303C5" w:rsidP="008D0CE0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Cuidar que los alumnos no hagan clic al apartado de “Volver al índice de aplicaciones”, les costará trabajo encontrar el recurso y se perderá tiempo valioso de clase y de trabajo. </w:t>
            </w:r>
          </w:p>
          <w:p w14:paraId="308C1976" w14:textId="7DAF6772" w:rsidR="008D0CE0" w:rsidRPr="0046246E" w:rsidRDefault="000303C5" w:rsidP="000303C5">
            <w:pPr>
              <w:tabs>
                <w:tab w:val="left" w:pos="5780"/>
              </w:tabs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</w:tbl>
    <w:p w14:paraId="2E321977" w14:textId="77777777" w:rsidR="00D2764B" w:rsidRDefault="00D2764B" w:rsidP="00D2764B"/>
    <w:sectPr w:rsidR="00D2764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59DA" w14:textId="77777777" w:rsidR="00AE558B" w:rsidRDefault="00AE558B" w:rsidP="00D2764B">
      <w:pPr>
        <w:spacing w:after="0" w:line="240" w:lineRule="auto"/>
      </w:pPr>
      <w:r>
        <w:separator/>
      </w:r>
    </w:p>
  </w:endnote>
  <w:endnote w:type="continuationSeparator" w:id="0">
    <w:p w14:paraId="10B01BA7" w14:textId="77777777" w:rsidR="00AE558B" w:rsidRDefault="00AE558B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PhagsPa">
    <w:altName w:val="Didot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BB3A" w14:textId="77777777" w:rsidR="00AE558B" w:rsidRDefault="00AE558B" w:rsidP="00D2764B">
      <w:pPr>
        <w:spacing w:after="0" w:line="240" w:lineRule="auto"/>
      </w:pPr>
      <w:r>
        <w:separator/>
      </w:r>
    </w:p>
  </w:footnote>
  <w:footnote w:type="continuationSeparator" w:id="0">
    <w:p w14:paraId="11A7F9E9" w14:textId="77777777" w:rsidR="00AE558B" w:rsidRDefault="00AE558B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A7CD" w14:textId="77777777" w:rsidR="00AE558B" w:rsidRPr="00D2764B" w:rsidRDefault="00AE558B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AE558B" w:rsidRDefault="00AE55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E"/>
    <w:rsid w:val="000303C5"/>
    <w:rsid w:val="0005795A"/>
    <w:rsid w:val="001129A0"/>
    <w:rsid w:val="001413B4"/>
    <w:rsid w:val="002E406B"/>
    <w:rsid w:val="0030369C"/>
    <w:rsid w:val="003C3566"/>
    <w:rsid w:val="0046246E"/>
    <w:rsid w:val="004F0038"/>
    <w:rsid w:val="004F6428"/>
    <w:rsid w:val="0050308A"/>
    <w:rsid w:val="008D0CE0"/>
    <w:rsid w:val="008D385D"/>
    <w:rsid w:val="008F19DF"/>
    <w:rsid w:val="00942736"/>
    <w:rsid w:val="009D2C46"/>
    <w:rsid w:val="00A6314E"/>
    <w:rsid w:val="00AE558B"/>
    <w:rsid w:val="00C934A0"/>
    <w:rsid w:val="00CC14E0"/>
    <w:rsid w:val="00D2764B"/>
    <w:rsid w:val="00D42EDE"/>
    <w:rsid w:val="00D865AB"/>
    <w:rsid w:val="00DC0DEA"/>
    <w:rsid w:val="00F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B75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munidadunete.net/index.php/component/k2/item/383-unidades-decenas-y-centenas" TargetMode="External"/><Relationship Id="rId8" Type="http://schemas.openxmlformats.org/officeDocument/2006/relationships/hyperlink" Target="http://www.comunidadunete.net/index.php/component/k2/item/383-unidades-decenas-y-centena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2289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Alejandro Altamirano</cp:lastModifiedBy>
  <cp:revision>3</cp:revision>
  <cp:lastPrinted>2014-02-26T17:59:00Z</cp:lastPrinted>
  <dcterms:created xsi:type="dcterms:W3CDTF">2015-01-16T17:19:00Z</dcterms:created>
  <dcterms:modified xsi:type="dcterms:W3CDTF">2015-01-16T17:28:00Z</dcterms:modified>
</cp:coreProperties>
</file>